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42" w:hanging="142"/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Паспорт 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инвестиционной площадки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b/>
          <w:bCs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Анжеро-Судженск</w:t>
      </w:r>
      <w:r>
        <w:rPr>
          <w:b/>
          <w:bCs/>
        </w:rPr>
        <w:t xml:space="preserve">, </w:t>
      </w:r>
      <w:r>
        <w:rPr>
          <w:b/>
          <w:bCs/>
        </w:rPr>
        <w:t xml:space="preserve">площадка </w:t>
      </w:r>
      <w:r>
        <w:rPr>
          <w:b/>
          <w:bCs/>
        </w:rPr>
        <w:t>п</w:t>
      </w:r>
      <w:r>
        <w:rPr>
          <w:b/>
          <w:bCs/>
        </w:rPr>
        <w:t>ромышленная площадка Северная</w:t>
      </w:r>
      <w:r>
        <w:rPr>
          <w:b/>
          <w:bCs/>
        </w:rPr>
        <w:t>,</w:t>
      </w:r>
      <w:r>
        <w:rPr>
          <w:b/>
          <w:bCs/>
        </w:rPr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Cs/>
          <w:i/>
          <w:iCs/>
          <w:lang w:eastAsia="en-us"/>
        </w:rPr>
      </w:pPr>
      <w:r>
        <w:rPr>
          <w:rFonts w:ascii="Times New Roman" w:hAnsi="Times New Roman" w:eastAsia="Calibri"/>
          <w:bCs/>
          <w:i/>
          <w:iCs/>
          <w:lang w:eastAsia="en-us"/>
        </w:rPr>
        <w:t>Рекомендуемый</w:t>
      </w:r>
      <w:r>
        <w:rPr>
          <w:rFonts w:ascii="Times New Roman" w:hAnsi="Times New Roman" w:eastAsia="Calibri"/>
          <w:bCs/>
          <w:i/>
          <w:iCs/>
          <w:lang w:eastAsia="en-us"/>
        </w:rPr>
        <w:t xml:space="preserve"> формат наименования инвестиционной площадки: МО, наименования площадки</w:t>
      </w:r>
      <w:r>
        <w:rPr>
          <w:rFonts w:ascii="Times New Roman" w:hAnsi="Times New Roman" w:eastAsia="Calibri"/>
          <w:bCs/>
          <w:i/>
          <w:iCs/>
          <w:lang w:eastAsia="en-us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794"/>
        <w:gridCol w:w="6266"/>
      </w:tblGrid>
      <w:tr>
        <w:trPr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Название площадки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Инвестиционная площадка П1- производственная зона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  (указывается возможное использование </w:t>
            </w:r>
          </w:p>
        </w:tc>
      </w:tr>
      <w:tr>
        <w:trPr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0" w:name="Флажок1_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0"/>
            <w:r/>
            <w:r>
              <w:rPr>
                <w:rFonts w:ascii="Times New Roman" w:hAnsi="Times New Roman" w:eastAsia="Calibri"/>
                <w:lang w:eastAsia="en-us"/>
              </w:rPr>
              <w:t xml:space="preserve">  административно-торговая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" w:name="Флажок_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"/>
            <w:r/>
            <w:r>
              <w:rPr>
                <w:rFonts w:ascii="Times New Roman" w:hAnsi="Times New Roman" w:eastAsia="Calibri"/>
                <w:lang w:eastAsia="en-us"/>
              </w:rPr>
              <w:t xml:space="preserve">  промышленная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" w:name="Флажок_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"/>
            <w:r/>
            <w:r>
              <w:rPr>
                <w:rFonts w:ascii="Times New Roman" w:hAnsi="Times New Roman" w:eastAsia="Calibri"/>
                <w:lang w:eastAsia="en-us"/>
              </w:rPr>
              <w:t xml:space="preserve">  транспортно-логистическая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" w:name="Флажок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"/>
            <w:r/>
            <w:r>
              <w:rPr>
                <w:rFonts w:ascii="Times New Roman" w:hAnsi="Times New Roman" w:eastAsia="Calibri"/>
                <w:lang w:eastAsia="en-us"/>
              </w:rPr>
              <w:t xml:space="preserve">  жилищная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4" w:name="Флажок_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4"/>
            <w:r/>
            <w:r>
              <w:rPr>
                <w:rFonts w:ascii="Times New Roman" w:hAnsi="Times New Roman" w:eastAsia="Calibri"/>
                <w:lang w:eastAsia="en-us"/>
              </w:rPr>
              <w:t xml:space="preserve">  иная (Земли запаса-неиспользуемые)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1. Положение и окружение инвестиционной площадки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10034" w:type="dxa"/>
        <w:tblLook w:val="04A0" w:firstRow="1" w:lastRow="0" w:firstColumn="1" w:lastColumn="0" w:noHBand="0" w:noVBand="1"/>
      </w:tblPr>
      <w:tblGrid>
        <w:gridCol w:w="3673"/>
        <w:gridCol w:w="6361"/>
      </w:tblGrid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Место расположения (адрес)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Кемеровская область, г. Анжеро-Судженск, район промплощадки нефтеперерабатывающего завода</w:t>
            </w:r>
          </w:p>
        </w:tc>
      </w:tr>
      <w:tr>
        <w:trPr>
          <w:cantSplit w:val="0"/>
          <w:trHeight w:val="0" w:hRule="auto"/>
        </w:trPr>
        <w:tc>
          <w:tcPr>
            <w:tcW w:w="1003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объектов (в км):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г. Кемерово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93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8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автомагистрали (название дороги)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прямой 0,5 км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дорогам общего пользования 0,5 км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5" w:name="Флажок_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5"/>
            <w:r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6" w:name="Флажок_7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6"/>
            <w:r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_____ км от границы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7" w:name="Флажок_8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7"/>
            <w:r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8" w:name="Флажок_9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8"/>
            <w:r/>
            <w:r>
              <w:rPr>
                <w:rFonts w:ascii="Times New Roman" w:hAnsi="Times New Roman" w:eastAsia="Calibri"/>
                <w:lang w:eastAsia="en-us"/>
              </w:rPr>
              <w:t xml:space="preserve">  наличие ограничений (нагрузка на ось, высота)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____________________________________________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покрытия автодороги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9" w:name="Флажок_10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0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9"/>
            <w:r/>
            <w:r>
              <w:rPr>
                <w:rFonts w:ascii="Times New Roman" w:hAnsi="Times New Roman" w:eastAsia="Calibri"/>
                <w:lang w:eastAsia="en-us"/>
              </w:rPr>
              <w:t xml:space="preserve">   асфальтовое покрытие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0" w:name="Флажок_1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0"/>
            <w:r/>
            <w:r>
              <w:rPr>
                <w:rFonts w:ascii="Times New Roman" w:hAnsi="Times New Roman" w:eastAsia="Calibri"/>
                <w:lang w:eastAsia="en-us"/>
              </w:rPr>
              <w:t xml:space="preserve">   грунтовое покрытие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Иное___________________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железнодорожной погрузочно – разгрузочной площадки (станции, ее 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1" w:name="Флажок_1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1"/>
            <w:r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  <w:r/>
            <w:bookmarkStart w:id="12" w:name="Флажок_1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2"/>
            <w:r/>
            <w:r>
              <w:rPr>
                <w:rFonts w:ascii="Times New Roman" w:hAnsi="Times New Roman" w:eastAsia="Calibri"/>
                <w:lang w:eastAsia="en-us"/>
              </w:rPr>
              <w:t xml:space="preserve">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3" w:name="Флажок_14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3"/>
            <w:r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13 км от границы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4" w:name="Флажок_1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4"/>
            <w:r/>
            <w:r>
              <w:rPr>
                <w:rFonts w:ascii="Times New Roman" w:hAnsi="Times New Roman" w:eastAsia="Calibri"/>
                <w:lang w:eastAsia="en-us"/>
              </w:rPr>
              <w:t xml:space="preserve">  наличие точки примыкания к ж/д путям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5" w:name="Флажок_1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5"/>
            <w:r/>
            <w:r>
              <w:rPr>
                <w:rFonts w:ascii="Times New Roman" w:hAnsi="Times New Roman" w:eastAsia="Calibri"/>
                <w:lang w:eastAsia="en-us"/>
              </w:rPr>
              <w:t xml:space="preserve">  наличие ж/д тупика на территории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Вместимость вагонов в тупике в шт.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Общее состояние ж/д ветки 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Текущая пригодность ж/д ветки для приёма вагонов________________________________________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Необходимость ремонта (да/нет)_________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близлежащей станции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Пропускная способность (вагонов в сутки / в месяц)          в шт. _____/_______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Загруженность в %_________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передачи на баланс инвестора ж/д ветки в случае приобретения площадки____________________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аэропорта (название)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109,2км Название аэропорта Международный аэропорт Кемерово им. А.А. Леонова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полигонов размещения отходов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13 км. № полигона в ГРОРО 42-00322-З-00552-070715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Рельеф поверхности (ровная, наклонная, террасная, уступами)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Ровная 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2. Правовой статус инвестиционной площадки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3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6" w:name="Флажок_17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6"/>
            <w:r/>
            <w:r>
              <w:rPr>
                <w:rFonts w:ascii="Times New Roman" w:hAnsi="Times New Roman" w:eastAsia="Calibri"/>
                <w:lang w:eastAsia="en-us"/>
              </w:rPr>
              <w:t xml:space="preserve">  проведено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7" w:name="Флажок_18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8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7"/>
            <w:r/>
            <w:r>
              <w:rPr>
                <w:rFonts w:ascii="Times New Roman" w:hAnsi="Times New Roman" w:eastAsia="Calibri"/>
                <w:lang w:eastAsia="en-us"/>
              </w:rPr>
              <w:t xml:space="preserve">  не проведено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42:20:0101002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3. Характеристика территории инвестиционной площадки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4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4395"/>
        <w:gridCol w:w="5665"/>
      </w:tblGrid>
      <w:tr>
        <w:trPr>
          <w:cantSplit w:val="0"/>
          <w:trHeight w:val="284" w:hRule="atLeast"/>
        </w:trPr>
        <w:tc>
          <w:tcPr>
            <w:tcW w:w="43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Площадь, в га</w:t>
            </w:r>
          </w:p>
        </w:tc>
        <w:tc>
          <w:tcPr>
            <w:tcW w:w="5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20 га</w:t>
            </w:r>
          </w:p>
        </w:tc>
      </w:tr>
      <w:tr>
        <w:trPr>
          <w:cantSplit w:val="0"/>
          <w:trHeight w:val="602" w:hRule="atLeast"/>
        </w:trPr>
        <w:tc>
          <w:tcPr>
            <w:tcW w:w="43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расширения</w:t>
            </w:r>
          </w:p>
        </w:tc>
        <w:tc>
          <w:tcPr>
            <w:tcW w:w="5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8" w:name="Флажок_19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9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8"/>
            <w:r/>
            <w:r>
              <w:rPr>
                <w:rFonts w:ascii="Times New Roman" w:hAnsi="Times New Roman" w:eastAsia="Calibri"/>
                <w:lang w:eastAsia="en-us"/>
              </w:rPr>
              <w:t xml:space="preserve">  есть (до 2 га)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9" w:name="Флажок_20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9"/>
            <w:r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1454" w:hRule="atLeast"/>
        </w:trPr>
        <w:tc>
          <w:tcPr>
            <w:tcW w:w="43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Стоимость ориентировочная, тыс.руб.</w:t>
            </w:r>
            <w:r>
              <w:rPr>
                <w:rFonts w:ascii="Times New Roman" w:hAnsi="Times New Roman" w:eastAsia="Calibri"/>
                <w:lang w:val="en-us" w:eastAsia="en-us"/>
              </w:rPr>
            </w:r>
          </w:p>
        </w:tc>
        <w:tc>
          <w:tcPr>
            <w:tcW w:w="5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Приобретения  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Аренды в месяц 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1738" w:hRule="atLeast"/>
        </w:trPr>
        <w:tc>
          <w:tcPr>
            <w:tcW w:w="43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Возможные меры поддержки</w:t>
            </w:r>
          </w:p>
        </w:tc>
        <w:tc>
          <w:tcPr>
            <w:tcW w:w="5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0" w:name="Флажок_2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0"/>
            <w:r/>
            <w:r>
              <w:rPr>
                <w:rFonts w:ascii="Times New Roman" w:hAnsi="Times New Roman" w:eastAsia="Calibri"/>
                <w:lang w:eastAsia="en-us"/>
              </w:rPr>
              <w:t xml:space="preserve"> ТОСЭР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1" w:name="Флажок_2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1"/>
            <w:r/>
            <w:r>
              <w:rPr>
                <w:rFonts w:ascii="Times New Roman" w:hAnsi="Times New Roman" w:eastAsia="Calibri"/>
                <w:lang w:eastAsia="en-us"/>
              </w:rPr>
              <w:t>ОЭЗ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2" w:name="Флажок_2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3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2"/>
            <w:r/>
            <w:r>
              <w:rPr>
                <w:rFonts w:ascii="Times New Roman" w:hAnsi="Times New Roman" w:eastAsia="Calibri"/>
                <w:lang w:eastAsia="en-us"/>
              </w:rPr>
              <w:t xml:space="preserve"> ФРМ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3" w:name="Флажок_24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3"/>
            <w:r/>
            <w:r>
              <w:rPr>
                <w:rFonts w:ascii="Times New Roman" w:hAnsi="Times New Roman" w:eastAsia="Calibri"/>
                <w:lang w:eastAsia="en-us"/>
              </w:rPr>
              <w:t xml:space="preserve">Другие МКК Госфонд Кемеровской области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4. Характеристика инженерной инфраструктуры инвестиционной площадки*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5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1275"/>
        <w:gridCol w:w="1418"/>
        <w:gridCol w:w="1134"/>
        <w:gridCol w:w="992"/>
        <w:gridCol w:w="1872"/>
      </w:tblGrid>
      <w:tr>
        <w:trPr>
          <w:cantSplit w:val="0"/>
          <w:trHeight w:val="270" w:hRule="atLeast"/>
        </w:trPr>
        <w:tc>
          <w:tcPr>
            <w:tcW w:w="138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ind w:left="-108"/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присоединения, км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both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>
        <w:trPr>
          <w:cantSplit w:val="0"/>
          <w:trHeight w:val="222" w:hRule="atLeast"/>
        </w:trPr>
        <w:tc>
          <w:tcPr>
            <w:tcW w:w="138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/>
        </w:tc>
        <w:tc>
          <w:tcPr>
            <w:tcW w:w="851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/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Доступная к подведению 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</w:tr>
      <w:tr>
        <w:trPr>
          <w:cantSplit w:val="0"/>
          <w:trHeight w:val="276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/час 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cantSplit w:val="0"/>
          <w:trHeight w:val="33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cantSplit w:val="0"/>
          <w:trHeight w:val="289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Электроэнергия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КТП-90,100кВа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60кВт(без учета строительства новых ТП)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Не далее 15 метров во внешнюю сторону от границы участка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11,26-11,64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руб./кВтч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ПАО "Кузбассэнергосбыт"</w:t>
            </w:r>
          </w:p>
        </w:tc>
      </w:tr>
      <w:tr>
        <w:trPr>
          <w:cantSplit w:val="0"/>
          <w:trHeight w:val="280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водопроводной линии – Ø160мм. Гарантированное давление линии водоснабжения – 1,4атм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водопроводной линии – Ø160мм. Гарантированное давление линии водоснабжения – 1,4атм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На границе площадки вдоль ул.Автомобилистов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  <w:r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60,37</w:t>
            </w:r>
          </w:p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руб./куб.м.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  <w:tr>
        <w:trPr>
          <w:cantSplit w:val="0"/>
          <w:trHeight w:val="26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На границе вдоль улицы Курортная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  <w:r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49,98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</w:tbl>
    <w:p>
      <w:pPr>
        <w:rPr>
          <w:rFonts w:ascii="Times New Roman" w:hAnsi="Times New Roman" w:eastAsia="Calibri"/>
          <w:b/>
          <w:sz w:val="20"/>
          <w:lang w:eastAsia="en-us"/>
        </w:rPr>
      </w:pPr>
      <w:r>
        <w:rPr>
          <w:rFonts w:ascii="Times New Roman" w:hAnsi="Times New Roman" w:eastAsia="Calibri"/>
          <w:b/>
          <w:sz w:val="20"/>
          <w:lang w:eastAsia="en-us"/>
        </w:rPr>
        <w:t>*данные носят ориентировочный характер, точные данные будут предоставлены при заключении договора на технологическое присоединение</w:t>
      </w:r>
      <w:r>
        <w:rPr>
          <w:rFonts w:ascii="Times New Roman" w:hAnsi="Times New Roman" w:eastAsia="Calibri"/>
          <w:b/>
          <w:sz w:val="20"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5. Основные параметры расположенных на площадке зданий и сооружений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25"/>
      </w:r>
      <w:r>
        <w:rPr>
          <w:rFonts w:ascii="Times New Roman" w:hAnsi="Times New Roman" w:eastAsia="Calibri"/>
          <w:b/>
          <w:lang w:eastAsia="en-us"/>
        </w:rPr>
        <w:t xml:space="preserve">: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6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163"/>
      </w:tblGrid>
      <w:tr>
        <w:trPr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Наименование здания/</w:t>
            </w:r>
          </w:p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сооружения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Площадь, 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Этажность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Высота этажа, м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Строительный материал конструкции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Состояние, степень износа, %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Возможность расширения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>
        <w:trPr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>
      <w:pPr>
        <w:ind w:left="714"/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tabs defTabSz="708">
          <w:tab w:val="left" w:pos="851" w:leader="none"/>
        </w:tabs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6. Характеристика доступной ресурсно-сырьевой базы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26"/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7"/>
        <w:tabOrder w:val="0"/>
        <w:tblpPr w:horzAnchor="margin" w:vertAnchor="text" w:tblpY="83" w:leftFromText="180" w:rightFromText="180" w:topFromText="0" w:bottomFromText="160"/>
        <w:tblOverlap w:val="never"/>
        <w:jc w:val="left"/>
        <w:tblInd w:w="0" w:type="dxa"/>
        <w:tblW w:w="10065" w:type="dxa"/>
        <w:tblLook w:val="04A0" w:firstRow="1" w:lastRow="0" w:firstColumn="1" w:lastColumn="0" w:noHBand="0" w:noVBand="1"/>
      </w:tblPr>
      <w:tblGrid>
        <w:gridCol w:w="1527"/>
        <w:gridCol w:w="2836"/>
        <w:gridCol w:w="1844"/>
        <w:gridCol w:w="3858"/>
      </w:tblGrid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Вид ресурсов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Величина разведанных/ подтвержденных запасов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Статус месторождения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Расстояние от границы площадки до месторождения, км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каменный уголь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геологические запасы более 1,5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месторожде</w:t>
              <w:softHyphen/>
              <w:t>ния Яшкинского и Кемеровского районов, от р. Кайгур до г. Анжеро-Судженска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700" w:hRule="atLeast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алюминиевые руды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10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Барзасское месторождение (Единисский, Суховский, Глухаринский, Гавриловский, Золото-Китатский участки, на территории Кемеровского, Яйского и Ижморского районов, от р. Барзас до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железная руда (магнетитовая)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500 млн.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междуречье р. Алчедат и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кварциты Антоновской группы месторождений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промышленно оцененные запасы составляют 0,5 млрд. тонн;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 xml:space="preserve">Пгт. Рудничный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бурый уголь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около 2,0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(Китатское месторождение, террито</w:t>
              <w:softHyphen/>
              <w:t>рия Яйского района, по реке Китат между пос. Улановка и пос. Вознесенка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марганцевая руда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Ижморского и Верх-Чебулинского районов, от р. Кайгагат до р. Заломная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диабазы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3,68 млн. 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Кемеровского района, Васильевское месторождение (недалеко от пос. Барзас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глины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имеет запасы категории В - 66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расположено в 9 км от ст. Анжерская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минеральные краски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месторождения Баранцовское (160 т. тн); Тайгинское (2246 т.тн); Халдеевское (25 т.тн.);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Яйского, Яшкинского районов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7. Трудовые ресурсы</w:t>
      </w:r>
    </w:p>
    <w:tbl>
      <w:tblPr>
        <w:tblStyle w:val="NormalTable"/>
        <w:name w:val="Таблица8"/>
        <w:tabOrder w:val="0"/>
        <w:jc w:val="left"/>
        <w:tblInd w:w="-5" w:type="dxa"/>
        <w:tblW w:w="10065" w:type="dxa"/>
        <w:pPr>
          <w:ind w:left="-5"/>
        </w:pPr>
        <w:tblLook w:val="0000" w:firstRow="0" w:lastRow="0" w:firstColumn="0" w:lastColumn="0" w:noHBand="0" w:noVBand="0"/>
      </w:tblPr>
      <w:tblGrid>
        <w:gridCol w:w="4395"/>
        <w:gridCol w:w="5670"/>
      </w:tblGrid>
      <w:tr>
        <w:trPr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68275</w:t>
            </w:r>
          </w:p>
        </w:tc>
      </w:tr>
      <w:tr>
        <w:trPr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38376</w:t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8. Сведения о владельце (собственнике) площадки:</w:t>
      </w:r>
    </w:p>
    <w:tbl>
      <w:tblPr>
        <w:tblStyle w:val="NormalTable"/>
        <w:name w:val="Таблица9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>
        <w:trPr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Владелец (собственник)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КУМИ администрации Анжеро-Судженского городского округа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Юридический адрес: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Кемеровская область, город Анжеро-Судженск ул. Ленина 6 </w:t>
            </w:r>
          </w:p>
        </w:tc>
      </w:tr>
      <w:tr>
        <w:trPr>
          <w:cantSplit w:val="0"/>
          <w:trHeight w:val="1178" w:hRule="atLeast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Форма владения (использования) землей (и) и зданиями(ий) (собственность, аренда, др.)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собственность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Контактное лицо: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Ф.И.О., должность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pStyle w:val="para0"/>
              <w:ind w:left="175" w:right="0" w:hanging="175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Чемякин Илья Владимирович, начальник управления экономического развития, промышленности и предпринимательства 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Телефон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pStyle w:val="para0"/>
              <w:ind w:left="0" w:right="0" w:firstLine="0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8(3845) 6-12-79 ; 8(3845)6-56-17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val="en-us" w:eastAsia="en-us"/>
              </w:rPr>
              <w:t>e</w:t>
            </w:r>
            <w:r>
              <w:rPr>
                <w:rFonts w:ascii="Times New Roman" w:hAnsi="Times New Roman" w:eastAsia="Calibri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val="en-us" w:eastAsia="en-us"/>
              </w:rPr>
              <w:t>mail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385" protected="0"/>
          </w:tcPr>
          <w:p>
            <w:pPr>
              <w:pStyle w:val="para0"/>
              <w:ind w:left="0" w:right="0" w:firstLine="0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hyperlink r:id="rId9" w:history="1">
              <w:r>
                <w:rPr>
                  <w:rStyle w:val="char4"/>
                  <w:rFonts w:ascii="Times New Roman" w:hAnsi="Times New Roman"/>
                  <w:sz w:val="22"/>
                </w:rPr>
                <w:t>upp@anzhero.ru</w:t>
              </w:r>
            </w:hyperlink>
            <w:r>
              <w:rPr>
                <w:rFonts w:ascii="Times New Roman" w:hAnsi="Times New Roman"/>
              </w:rPr>
              <w:t xml:space="preserve"> ; </w:t>
            </w:r>
            <w:hyperlink r:id="rId10" w:history="1">
              <w:r>
                <w:rPr>
                  <w:rStyle w:val="char4"/>
                  <w:rFonts w:ascii="Times New Roman" w:hAnsi="Times New Roman"/>
                </w:rPr>
                <w:t>promotdel@anzhero.ru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992" w:top="1134" w:right="851" w:bottom="1134" w:header="0" w:footer="0"/>
          <w:paperSrc w:first="0" w:other="0" a="0" b="0"/>
          <w:pgNumType w:fmt="decimal" w:start="0"/>
          <w:titlePg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/>
      <w:r>
        <w:rPr>
          <w:noProof/>
        </w:rPr>
        <w:drawing>
          <wp:inline distT="0" distB="0" distL="0" distR="0">
            <wp:extent cx="9210675" cy="506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">
                          <sm:smNativeData xmlns:sm="sm" val="SMDATA_16_YSG5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kAAAAB6AAAAAAAAAAAAAAAAAAAAAAAAAAAAAAAAAAAAAAAAAAAAAAqTgAACwf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10675" cy="50673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993" w:right="1134" w:bottom="850" w:header="0" w:footer="0"/>
      <w:paperSrc w:first="0" w:other="0" a="0" b="0"/>
      <w:pgNumType w:fmt="decimal" w:start="0"/>
      <w:titlePg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Segoe U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25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 xml:space="preserve"> Заполняется по каждому объекту недвижимости </w:t>
      </w:r>
    </w:p>
  </w:footnote>
  <w:footnote w:id="26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>Для инвестиционных площадок производственного назначения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start w:val="6"/>
      <w:numFmt w:val="decimal"/>
      <w:suff w:val="tab"/>
      <w:lvlText w:val="%1."/>
      <w:lvlJc w:val="left"/>
      <w:pPr>
        <w:ind w:left="714" w:hanging="0"/>
      </w:pPr>
    </w:lvl>
    <w:lvl w:ilvl="1">
      <w:start w:val="1"/>
      <w:numFmt w:val="lowerLetter"/>
      <w:suff w:val="tab"/>
      <w:lvlText w:val="%2."/>
      <w:lvlJc w:val="left"/>
      <w:pPr>
        <w:ind w:left="1434" w:hanging="0"/>
      </w:pPr>
    </w:lvl>
    <w:lvl w:ilvl="2">
      <w:start w:val="1"/>
      <w:numFmt w:val="lowerRoman"/>
      <w:suff w:val="tab"/>
      <w:lvlText w:val="%3."/>
      <w:lvlJc w:val="right"/>
      <w:pPr>
        <w:ind w:left="2334" w:hanging="0"/>
      </w:pPr>
    </w:lvl>
    <w:lvl w:ilvl="3">
      <w:start w:val="1"/>
      <w:numFmt w:val="decimal"/>
      <w:suff w:val="tab"/>
      <w:lvlText w:val="%4."/>
      <w:lvlJc w:val="left"/>
      <w:pPr>
        <w:ind w:left="2874" w:hanging="0"/>
      </w:pPr>
    </w:lvl>
    <w:lvl w:ilvl="4">
      <w:start w:val="1"/>
      <w:numFmt w:val="lowerLetter"/>
      <w:suff w:val="tab"/>
      <w:lvlText w:val="%5."/>
      <w:lvlJc w:val="left"/>
      <w:pPr>
        <w:ind w:left="3594" w:hanging="0"/>
      </w:pPr>
    </w:lvl>
    <w:lvl w:ilvl="5">
      <w:start w:val="1"/>
      <w:numFmt w:val="lowerRoman"/>
      <w:suff w:val="tab"/>
      <w:lvlText w:val="%6."/>
      <w:lvlJc w:val="right"/>
      <w:pPr>
        <w:ind w:left="4494" w:hanging="0"/>
      </w:pPr>
    </w:lvl>
    <w:lvl w:ilvl="6">
      <w:start w:val="1"/>
      <w:numFmt w:val="decimal"/>
      <w:suff w:val="tab"/>
      <w:lvlText w:val="%7."/>
      <w:lvlJc w:val="left"/>
      <w:pPr>
        <w:ind w:left="5034" w:hanging="0"/>
      </w:pPr>
    </w:lvl>
    <w:lvl w:ilvl="7">
      <w:start w:val="1"/>
      <w:numFmt w:val="lowerLetter"/>
      <w:suff w:val="tab"/>
      <w:lvlText w:val="%8."/>
      <w:lvlJc w:val="left"/>
      <w:pPr>
        <w:ind w:left="5754" w:hanging="0"/>
      </w:pPr>
    </w:lvl>
    <w:lvl w:ilvl="8">
      <w:start w:val="1"/>
      <w:numFmt w:val="lowerRoman"/>
      <w:suff w:val="tab"/>
      <w:lvlText w:val="%9."/>
      <w:lvlJc w:val="right"/>
      <w:pPr>
        <w:ind w:left="6654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5671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13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3740385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yperlink" Target="mailto:upp@anzhero.ru" TargetMode="External"/><Relationship Id="rId10" Type="http://schemas.openxmlformats.org/officeDocument/2006/relationships/hyperlink" Target="mailto:promotdel@anzhero.ru" TargetMode="External"/><Relationship Id="rId1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заполнению паспортоВ инвестиционных площадок</dc:subject>
  <dc:creator>Государственное казенное учреждение Кемероской области «Агентство по привлечению и защите инвестиций Кузбасса»</dc:creator>
  <cp:keywords/>
  <dc:description/>
  <cp:lastModifiedBy/>
  <cp:revision>6</cp:revision>
  <cp:lastPrinted>2023-08-29T03:43:00Z</cp:lastPrinted>
  <dcterms:created xsi:type="dcterms:W3CDTF">2022-03-01T01:44:00Z</dcterms:created>
  <dcterms:modified xsi:type="dcterms:W3CDTF">2026-03-17T09:39:45Z</dcterms:modified>
</cp:coreProperties>
</file>